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E28EA" w14:textId="77777777" w:rsidR="00864E8C" w:rsidRPr="00D374B4" w:rsidRDefault="00864E8C" w:rsidP="00864E8C">
      <w:pPr>
        <w:rPr>
          <w:rFonts w:cs="Arial"/>
          <w:color w:val="000000"/>
          <w:szCs w:val="22"/>
          <w:lang w:val="es-CO" w:eastAsia="es-CO"/>
        </w:rPr>
      </w:pPr>
      <w:bookmarkStart w:id="0" w:name="_GoBack"/>
      <w:bookmarkEnd w:id="0"/>
    </w:p>
    <w:tbl>
      <w:tblPr>
        <w:tblW w:w="91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07"/>
        <w:gridCol w:w="7336"/>
      </w:tblGrid>
      <w:tr w:rsidR="00864E8C" w:rsidRPr="005C782C" w14:paraId="52F0A87E" w14:textId="77777777" w:rsidTr="00D374B4">
        <w:trPr>
          <w:trHeight w:val="161"/>
        </w:trPr>
        <w:tc>
          <w:tcPr>
            <w:tcW w:w="1807" w:type="dxa"/>
            <w:tcMar>
              <w:top w:w="0" w:type="dxa"/>
              <w:left w:w="108" w:type="dxa"/>
              <w:bottom w:w="0" w:type="dxa"/>
              <w:right w:w="108" w:type="dxa"/>
            </w:tcMar>
            <w:hideMark/>
          </w:tcPr>
          <w:p w14:paraId="2E7460DE" w14:textId="77777777" w:rsidR="00864E8C" w:rsidRPr="005C782C" w:rsidRDefault="00864E8C" w:rsidP="00520624">
            <w:pPr>
              <w:tabs>
                <w:tab w:val="left" w:pos="1485"/>
              </w:tabs>
              <w:rPr>
                <w:rFonts w:cs="Arial"/>
                <w:szCs w:val="22"/>
              </w:rPr>
            </w:pPr>
            <w:r w:rsidRPr="005C782C">
              <w:rPr>
                <w:rFonts w:cs="Arial"/>
                <w:b/>
                <w:bCs/>
                <w:szCs w:val="22"/>
                <w:lang w:val="es-419"/>
              </w:rPr>
              <w:t>Proceso</w:t>
            </w:r>
            <w:r w:rsidRPr="005C782C">
              <w:rPr>
                <w:rFonts w:cs="Arial"/>
                <w:b/>
                <w:bCs/>
                <w:szCs w:val="22"/>
              </w:rPr>
              <w:t xml:space="preserve">:   </w:t>
            </w:r>
            <w:r w:rsidRPr="005C782C">
              <w:rPr>
                <w:rFonts w:cs="Arial"/>
                <w:szCs w:val="22"/>
              </w:rPr>
              <w:t> </w:t>
            </w:r>
          </w:p>
        </w:tc>
        <w:tc>
          <w:tcPr>
            <w:tcW w:w="7336" w:type="dxa"/>
            <w:tcMar>
              <w:top w:w="0" w:type="dxa"/>
              <w:left w:w="108" w:type="dxa"/>
              <w:bottom w:w="0" w:type="dxa"/>
              <w:right w:w="108" w:type="dxa"/>
            </w:tcMar>
            <w:hideMark/>
          </w:tcPr>
          <w:p w14:paraId="41B4DF8B" w14:textId="77777777" w:rsidR="00864E8C" w:rsidRPr="005C782C" w:rsidRDefault="00864E8C" w:rsidP="00520624">
            <w:pPr>
              <w:rPr>
                <w:rFonts w:cs="Arial"/>
                <w:szCs w:val="22"/>
              </w:rPr>
            </w:pPr>
            <w:r w:rsidRPr="005C782C">
              <w:rPr>
                <w:rFonts w:cs="Arial"/>
                <w:szCs w:val="22"/>
                <w:lang w:val="es-419"/>
              </w:rPr>
              <w:t> </w:t>
            </w:r>
          </w:p>
        </w:tc>
      </w:tr>
      <w:tr w:rsidR="00864E8C" w:rsidRPr="005C782C" w14:paraId="2C20EA6E" w14:textId="77777777" w:rsidTr="00D374B4">
        <w:trPr>
          <w:trHeight w:val="368"/>
        </w:trPr>
        <w:tc>
          <w:tcPr>
            <w:tcW w:w="1807" w:type="dxa"/>
            <w:tcMar>
              <w:top w:w="0" w:type="dxa"/>
              <w:left w:w="108" w:type="dxa"/>
              <w:bottom w:w="0" w:type="dxa"/>
              <w:right w:w="108" w:type="dxa"/>
            </w:tcMar>
            <w:hideMark/>
          </w:tcPr>
          <w:p w14:paraId="757CD12C" w14:textId="77777777" w:rsidR="00864E8C" w:rsidRPr="005C782C" w:rsidRDefault="00864E8C" w:rsidP="00520624">
            <w:pPr>
              <w:tabs>
                <w:tab w:val="left" w:pos="1485"/>
              </w:tabs>
              <w:rPr>
                <w:rFonts w:cs="Arial"/>
                <w:szCs w:val="22"/>
              </w:rPr>
            </w:pPr>
            <w:r w:rsidRPr="005C782C">
              <w:rPr>
                <w:rFonts w:cs="Arial"/>
                <w:b/>
                <w:bCs/>
                <w:szCs w:val="22"/>
              </w:rPr>
              <w:t>Investigado:</w:t>
            </w:r>
            <w:r w:rsidRPr="005C782C">
              <w:rPr>
                <w:rFonts w:cs="Arial"/>
                <w:b/>
                <w:bCs/>
                <w:szCs w:val="22"/>
                <w:lang w:val="es-419"/>
              </w:rPr>
              <w:t> </w:t>
            </w:r>
          </w:p>
        </w:tc>
        <w:tc>
          <w:tcPr>
            <w:tcW w:w="7336" w:type="dxa"/>
            <w:tcMar>
              <w:top w:w="0" w:type="dxa"/>
              <w:left w:w="108" w:type="dxa"/>
              <w:bottom w:w="0" w:type="dxa"/>
              <w:right w:w="108" w:type="dxa"/>
            </w:tcMar>
            <w:hideMark/>
          </w:tcPr>
          <w:p w14:paraId="5071784C" w14:textId="77777777" w:rsidR="00864E8C" w:rsidRPr="005C782C" w:rsidRDefault="00864E8C" w:rsidP="00520624">
            <w:pPr>
              <w:tabs>
                <w:tab w:val="left" w:pos="1485"/>
              </w:tabs>
              <w:jc w:val="both"/>
              <w:rPr>
                <w:rFonts w:cs="Arial"/>
                <w:szCs w:val="22"/>
              </w:rPr>
            </w:pPr>
            <w:r w:rsidRPr="005C782C">
              <w:rPr>
                <w:rFonts w:cs="Arial"/>
                <w:szCs w:val="22"/>
              </w:rPr>
              <w:t> </w:t>
            </w:r>
          </w:p>
        </w:tc>
      </w:tr>
      <w:tr w:rsidR="00864E8C" w:rsidRPr="005C782C" w14:paraId="46D3F79F" w14:textId="77777777" w:rsidTr="00D374B4">
        <w:trPr>
          <w:trHeight w:val="153"/>
        </w:trPr>
        <w:tc>
          <w:tcPr>
            <w:tcW w:w="1807" w:type="dxa"/>
            <w:tcMar>
              <w:top w:w="0" w:type="dxa"/>
              <w:left w:w="108" w:type="dxa"/>
              <w:bottom w:w="0" w:type="dxa"/>
              <w:right w:w="108" w:type="dxa"/>
            </w:tcMar>
            <w:hideMark/>
          </w:tcPr>
          <w:p w14:paraId="05CE4A3E" w14:textId="77777777" w:rsidR="00864E8C" w:rsidRPr="005C782C" w:rsidRDefault="00864E8C" w:rsidP="00520624">
            <w:pPr>
              <w:tabs>
                <w:tab w:val="left" w:pos="1485"/>
              </w:tabs>
              <w:rPr>
                <w:rFonts w:cs="Arial"/>
                <w:szCs w:val="22"/>
              </w:rPr>
            </w:pPr>
            <w:r w:rsidRPr="005C782C">
              <w:rPr>
                <w:rFonts w:cs="Arial"/>
                <w:b/>
                <w:bCs/>
                <w:szCs w:val="22"/>
              </w:rPr>
              <w:t>Cargo:</w:t>
            </w:r>
            <w:r w:rsidRPr="005C782C">
              <w:rPr>
                <w:rFonts w:cs="Arial"/>
                <w:b/>
                <w:bCs/>
                <w:szCs w:val="22"/>
                <w:lang w:val="es-419"/>
              </w:rPr>
              <w:t> </w:t>
            </w:r>
          </w:p>
        </w:tc>
        <w:tc>
          <w:tcPr>
            <w:tcW w:w="7336" w:type="dxa"/>
            <w:tcMar>
              <w:top w:w="0" w:type="dxa"/>
              <w:left w:w="108" w:type="dxa"/>
              <w:bottom w:w="0" w:type="dxa"/>
              <w:right w:w="108" w:type="dxa"/>
            </w:tcMar>
            <w:hideMark/>
          </w:tcPr>
          <w:p w14:paraId="5602DC8D" w14:textId="77777777" w:rsidR="00864E8C" w:rsidRPr="005C782C" w:rsidRDefault="00864E8C" w:rsidP="00520624">
            <w:pPr>
              <w:tabs>
                <w:tab w:val="left" w:pos="1485"/>
              </w:tabs>
              <w:jc w:val="both"/>
              <w:rPr>
                <w:rFonts w:cs="Arial"/>
                <w:szCs w:val="22"/>
              </w:rPr>
            </w:pPr>
            <w:r w:rsidRPr="005C782C">
              <w:rPr>
                <w:rFonts w:cs="Arial"/>
                <w:szCs w:val="22"/>
              </w:rPr>
              <w:t> </w:t>
            </w:r>
          </w:p>
        </w:tc>
      </w:tr>
      <w:tr w:rsidR="00864E8C" w:rsidRPr="005C782C" w14:paraId="4FE67BB9" w14:textId="77777777" w:rsidTr="00D374B4">
        <w:trPr>
          <w:trHeight w:val="71"/>
        </w:trPr>
        <w:tc>
          <w:tcPr>
            <w:tcW w:w="1807" w:type="dxa"/>
            <w:tcMar>
              <w:top w:w="0" w:type="dxa"/>
              <w:left w:w="108" w:type="dxa"/>
              <w:bottom w:w="0" w:type="dxa"/>
              <w:right w:w="108" w:type="dxa"/>
            </w:tcMar>
            <w:hideMark/>
          </w:tcPr>
          <w:p w14:paraId="4CCF65E7" w14:textId="77777777" w:rsidR="00864E8C" w:rsidRPr="005C782C" w:rsidRDefault="00864E8C" w:rsidP="00520624">
            <w:pPr>
              <w:tabs>
                <w:tab w:val="left" w:pos="1485"/>
              </w:tabs>
              <w:rPr>
                <w:rFonts w:cs="Arial"/>
                <w:szCs w:val="22"/>
              </w:rPr>
            </w:pPr>
            <w:r w:rsidRPr="005C782C">
              <w:rPr>
                <w:rFonts w:cs="Arial"/>
                <w:b/>
                <w:bCs/>
                <w:szCs w:val="22"/>
              </w:rPr>
              <w:t>Entidad:  </w:t>
            </w:r>
          </w:p>
        </w:tc>
        <w:tc>
          <w:tcPr>
            <w:tcW w:w="7336" w:type="dxa"/>
            <w:tcMar>
              <w:top w:w="0" w:type="dxa"/>
              <w:left w:w="108" w:type="dxa"/>
              <w:bottom w:w="0" w:type="dxa"/>
              <w:right w:w="108" w:type="dxa"/>
            </w:tcMar>
            <w:hideMark/>
          </w:tcPr>
          <w:p w14:paraId="4B853246" w14:textId="6229D53A" w:rsidR="00864E8C" w:rsidRPr="005C782C" w:rsidRDefault="005C782C" w:rsidP="00520624">
            <w:pPr>
              <w:tabs>
                <w:tab w:val="left" w:pos="1485"/>
              </w:tabs>
              <w:jc w:val="both"/>
              <w:rPr>
                <w:rFonts w:cs="Arial"/>
                <w:szCs w:val="22"/>
              </w:rPr>
            </w:pPr>
            <w:r>
              <w:rPr>
                <w:rFonts w:cs="Arial"/>
                <w:szCs w:val="22"/>
              </w:rPr>
              <w:t>Contraloría de Bogotá</w:t>
            </w:r>
            <w:r w:rsidR="00AC4DE0">
              <w:rPr>
                <w:rFonts w:cs="Arial"/>
                <w:szCs w:val="22"/>
              </w:rPr>
              <w:t xml:space="preserve">, </w:t>
            </w:r>
            <w:r>
              <w:rPr>
                <w:rFonts w:cs="Arial"/>
                <w:szCs w:val="22"/>
              </w:rPr>
              <w:t>D.</w:t>
            </w:r>
            <w:r w:rsidR="00AC4DE0">
              <w:rPr>
                <w:rFonts w:cs="Arial"/>
                <w:szCs w:val="22"/>
              </w:rPr>
              <w:t xml:space="preserve"> </w:t>
            </w:r>
            <w:r>
              <w:rPr>
                <w:rFonts w:cs="Arial"/>
                <w:szCs w:val="22"/>
              </w:rPr>
              <w:t>C.</w:t>
            </w:r>
          </w:p>
        </w:tc>
      </w:tr>
      <w:tr w:rsidR="00864E8C" w:rsidRPr="005C782C" w14:paraId="4E7B7AF1" w14:textId="77777777" w:rsidTr="00D374B4">
        <w:trPr>
          <w:trHeight w:val="61"/>
        </w:trPr>
        <w:tc>
          <w:tcPr>
            <w:tcW w:w="1807" w:type="dxa"/>
            <w:tcMar>
              <w:top w:w="0" w:type="dxa"/>
              <w:left w:w="108" w:type="dxa"/>
              <w:bottom w:w="0" w:type="dxa"/>
              <w:right w:w="108" w:type="dxa"/>
            </w:tcMar>
            <w:hideMark/>
          </w:tcPr>
          <w:p w14:paraId="58254F4F" w14:textId="77777777" w:rsidR="00864E8C" w:rsidRPr="005C782C" w:rsidRDefault="00864E8C" w:rsidP="00520624">
            <w:pPr>
              <w:tabs>
                <w:tab w:val="left" w:pos="1485"/>
              </w:tabs>
              <w:rPr>
                <w:rFonts w:cs="Arial"/>
                <w:szCs w:val="22"/>
              </w:rPr>
            </w:pPr>
            <w:r w:rsidRPr="005C782C">
              <w:rPr>
                <w:rFonts w:cs="Arial"/>
                <w:b/>
                <w:bCs/>
                <w:szCs w:val="22"/>
              </w:rPr>
              <w:t>Origen: </w:t>
            </w:r>
          </w:p>
        </w:tc>
        <w:tc>
          <w:tcPr>
            <w:tcW w:w="7336" w:type="dxa"/>
            <w:tcMar>
              <w:top w:w="0" w:type="dxa"/>
              <w:left w:w="108" w:type="dxa"/>
              <w:bottom w:w="0" w:type="dxa"/>
              <w:right w:w="108" w:type="dxa"/>
            </w:tcMar>
            <w:hideMark/>
          </w:tcPr>
          <w:p w14:paraId="2A606124" w14:textId="77777777" w:rsidR="00864E8C" w:rsidRPr="005C782C" w:rsidRDefault="00864E8C" w:rsidP="00520624">
            <w:pPr>
              <w:tabs>
                <w:tab w:val="left" w:pos="1485"/>
              </w:tabs>
              <w:jc w:val="both"/>
              <w:rPr>
                <w:rFonts w:cs="Arial"/>
                <w:szCs w:val="22"/>
              </w:rPr>
            </w:pPr>
            <w:r w:rsidRPr="005C782C">
              <w:rPr>
                <w:rFonts w:cs="Arial"/>
                <w:bCs/>
                <w:szCs w:val="22"/>
              </w:rPr>
              <w:t> </w:t>
            </w:r>
          </w:p>
        </w:tc>
      </w:tr>
      <w:tr w:rsidR="00864E8C" w:rsidRPr="005C782C" w14:paraId="53372C8E" w14:textId="77777777" w:rsidTr="00D374B4">
        <w:trPr>
          <w:trHeight w:val="282"/>
        </w:trPr>
        <w:tc>
          <w:tcPr>
            <w:tcW w:w="1807" w:type="dxa"/>
            <w:tcMar>
              <w:top w:w="0" w:type="dxa"/>
              <w:left w:w="108" w:type="dxa"/>
              <w:bottom w:w="0" w:type="dxa"/>
              <w:right w:w="108" w:type="dxa"/>
            </w:tcMar>
            <w:hideMark/>
          </w:tcPr>
          <w:p w14:paraId="722859B9" w14:textId="77777777" w:rsidR="00864E8C" w:rsidRPr="005C782C" w:rsidRDefault="00864E8C" w:rsidP="00520624">
            <w:pPr>
              <w:tabs>
                <w:tab w:val="left" w:pos="1485"/>
              </w:tabs>
              <w:rPr>
                <w:rFonts w:cs="Arial"/>
                <w:szCs w:val="22"/>
              </w:rPr>
            </w:pPr>
            <w:r w:rsidRPr="005C782C">
              <w:rPr>
                <w:rFonts w:cs="Arial"/>
                <w:b/>
                <w:bCs/>
                <w:szCs w:val="22"/>
              </w:rPr>
              <w:t>Fecha hechos:  </w:t>
            </w:r>
          </w:p>
        </w:tc>
        <w:tc>
          <w:tcPr>
            <w:tcW w:w="7336" w:type="dxa"/>
            <w:tcMar>
              <w:top w:w="0" w:type="dxa"/>
              <w:left w:w="108" w:type="dxa"/>
              <w:bottom w:w="0" w:type="dxa"/>
              <w:right w:w="108" w:type="dxa"/>
            </w:tcMar>
            <w:hideMark/>
          </w:tcPr>
          <w:p w14:paraId="1106F6CF" w14:textId="77777777" w:rsidR="00864E8C" w:rsidRPr="005C782C" w:rsidRDefault="00864E8C" w:rsidP="00520624">
            <w:pPr>
              <w:jc w:val="both"/>
              <w:rPr>
                <w:rFonts w:cs="Arial"/>
                <w:szCs w:val="22"/>
              </w:rPr>
            </w:pPr>
          </w:p>
        </w:tc>
      </w:tr>
      <w:tr w:rsidR="00864E8C" w:rsidRPr="005C782C" w14:paraId="0F9A5031" w14:textId="77777777" w:rsidTr="00D374B4">
        <w:trPr>
          <w:trHeight w:val="32"/>
        </w:trPr>
        <w:tc>
          <w:tcPr>
            <w:tcW w:w="1807" w:type="dxa"/>
            <w:tcMar>
              <w:top w:w="0" w:type="dxa"/>
              <w:left w:w="108" w:type="dxa"/>
              <w:bottom w:w="0" w:type="dxa"/>
              <w:right w:w="108" w:type="dxa"/>
            </w:tcMar>
            <w:hideMark/>
          </w:tcPr>
          <w:p w14:paraId="06B516C3" w14:textId="77777777" w:rsidR="00864E8C" w:rsidRPr="005C782C" w:rsidRDefault="00864E8C" w:rsidP="00520624">
            <w:pPr>
              <w:tabs>
                <w:tab w:val="left" w:pos="1485"/>
              </w:tabs>
              <w:rPr>
                <w:rFonts w:cs="Arial"/>
                <w:szCs w:val="22"/>
              </w:rPr>
            </w:pPr>
            <w:r w:rsidRPr="005C782C">
              <w:rPr>
                <w:rFonts w:cs="Arial"/>
                <w:b/>
                <w:bCs/>
                <w:szCs w:val="22"/>
              </w:rPr>
              <w:t>Hechos:     </w:t>
            </w:r>
          </w:p>
        </w:tc>
        <w:tc>
          <w:tcPr>
            <w:tcW w:w="7336" w:type="dxa"/>
            <w:tcMar>
              <w:top w:w="0" w:type="dxa"/>
              <w:left w:w="108" w:type="dxa"/>
              <w:bottom w:w="0" w:type="dxa"/>
              <w:right w:w="108" w:type="dxa"/>
            </w:tcMar>
            <w:hideMark/>
          </w:tcPr>
          <w:p w14:paraId="6C36DBC7" w14:textId="1F705BC9" w:rsidR="00864E8C" w:rsidRPr="005C782C" w:rsidRDefault="00D374B4" w:rsidP="00520624">
            <w:pPr>
              <w:rPr>
                <w:rFonts w:cs="Arial"/>
                <w:szCs w:val="22"/>
                <w:lang w:val="es-ES"/>
              </w:rPr>
            </w:pPr>
            <w:r w:rsidRPr="005C782C">
              <w:rPr>
                <w:rFonts w:cs="Arial"/>
                <w:bCs/>
                <w:szCs w:val="22"/>
                <w:lang w:val="es-ES"/>
              </w:rPr>
              <w:t xml:space="preserve">Presuntas </w:t>
            </w:r>
            <w:r w:rsidR="005C782C" w:rsidRPr="005C782C">
              <w:rPr>
                <w:rFonts w:cs="Arial"/>
                <w:bCs/>
                <w:szCs w:val="22"/>
                <w:lang w:val="es-ES"/>
              </w:rPr>
              <w:t>irregularidades (B</w:t>
            </w:r>
            <w:r w:rsidRPr="005C782C">
              <w:rPr>
                <w:rFonts w:cs="Arial"/>
                <w:bCs/>
                <w:szCs w:val="22"/>
                <w:lang w:val="es-ES"/>
              </w:rPr>
              <w:t>reve descripción)</w:t>
            </w:r>
          </w:p>
        </w:tc>
      </w:tr>
      <w:tr w:rsidR="00864E8C" w:rsidRPr="005C782C" w14:paraId="5DED1C31" w14:textId="77777777" w:rsidTr="00D374B4">
        <w:trPr>
          <w:trHeight w:val="357"/>
        </w:trPr>
        <w:tc>
          <w:tcPr>
            <w:tcW w:w="1807" w:type="dxa"/>
            <w:tcMar>
              <w:top w:w="0" w:type="dxa"/>
              <w:left w:w="108" w:type="dxa"/>
              <w:bottom w:w="0" w:type="dxa"/>
              <w:right w:w="108" w:type="dxa"/>
            </w:tcMar>
            <w:hideMark/>
          </w:tcPr>
          <w:p w14:paraId="2E0314AF" w14:textId="77777777" w:rsidR="00864E8C" w:rsidRPr="005C782C" w:rsidRDefault="00864E8C" w:rsidP="00520624">
            <w:pPr>
              <w:tabs>
                <w:tab w:val="left" w:pos="1485"/>
              </w:tabs>
              <w:rPr>
                <w:rFonts w:cs="Arial"/>
                <w:szCs w:val="22"/>
              </w:rPr>
            </w:pPr>
            <w:r w:rsidRPr="005C782C">
              <w:rPr>
                <w:rFonts w:cs="Arial"/>
                <w:b/>
                <w:bCs/>
                <w:szCs w:val="22"/>
              </w:rPr>
              <w:t>Asunto:          </w:t>
            </w:r>
          </w:p>
          <w:p w14:paraId="473D4FD8" w14:textId="77777777" w:rsidR="00864E8C" w:rsidRPr="005C782C" w:rsidRDefault="00864E8C" w:rsidP="00520624">
            <w:pPr>
              <w:tabs>
                <w:tab w:val="left" w:pos="1485"/>
              </w:tabs>
              <w:rPr>
                <w:rFonts w:cs="Arial"/>
                <w:szCs w:val="22"/>
              </w:rPr>
            </w:pPr>
            <w:r w:rsidRPr="005C782C">
              <w:rPr>
                <w:rFonts w:cs="Arial"/>
                <w:b/>
                <w:bCs/>
                <w:szCs w:val="22"/>
              </w:rPr>
              <w:t> </w:t>
            </w:r>
          </w:p>
        </w:tc>
        <w:tc>
          <w:tcPr>
            <w:tcW w:w="7336" w:type="dxa"/>
            <w:tcMar>
              <w:top w:w="0" w:type="dxa"/>
              <w:left w:w="108" w:type="dxa"/>
              <w:bottom w:w="0" w:type="dxa"/>
              <w:right w:w="108" w:type="dxa"/>
            </w:tcMar>
            <w:hideMark/>
          </w:tcPr>
          <w:p w14:paraId="56D5AA24" w14:textId="6BE85BE0" w:rsidR="00864E8C" w:rsidRPr="005C782C" w:rsidRDefault="00D374B4" w:rsidP="00D374B4">
            <w:pPr>
              <w:tabs>
                <w:tab w:val="left" w:pos="-1440"/>
                <w:tab w:val="left" w:pos="-720"/>
                <w:tab w:val="left" w:pos="3255"/>
              </w:tabs>
              <w:suppressAutoHyphens/>
              <w:jc w:val="both"/>
              <w:rPr>
                <w:rFonts w:cs="Arial"/>
                <w:bCs/>
                <w:szCs w:val="22"/>
                <w:lang w:val="es-ES"/>
              </w:rPr>
            </w:pPr>
            <w:r w:rsidRPr="005C782C">
              <w:rPr>
                <w:rFonts w:cs="Arial"/>
                <w:bCs/>
                <w:szCs w:val="22"/>
              </w:rPr>
              <w:t xml:space="preserve">Auto que ordena </w:t>
            </w:r>
            <w:r w:rsidRPr="005C782C">
              <w:rPr>
                <w:rFonts w:cs="Arial"/>
                <w:bCs/>
                <w:szCs w:val="22"/>
                <w:lang w:val="es-419"/>
              </w:rPr>
              <w:t>remisión a la Procuraduría General de la Nación</w:t>
            </w:r>
            <w:r w:rsidRPr="005C782C">
              <w:rPr>
                <w:rFonts w:cs="Arial"/>
                <w:bCs/>
                <w:szCs w:val="22"/>
                <w:lang w:val="es-ES"/>
              </w:rPr>
              <w:t>.</w:t>
            </w:r>
          </w:p>
        </w:tc>
      </w:tr>
    </w:tbl>
    <w:p w14:paraId="4AB8E212" w14:textId="77777777" w:rsidR="00864E8C" w:rsidRPr="003E0A18" w:rsidRDefault="00864E8C" w:rsidP="00D374B4">
      <w:pPr>
        <w:rPr>
          <w:rFonts w:eastAsia="Calibri" w:cs="Arial"/>
          <w:b/>
          <w:sz w:val="24"/>
          <w:szCs w:val="24"/>
          <w:lang w:val="es-CO" w:eastAsia="en-US"/>
        </w:rPr>
      </w:pPr>
    </w:p>
    <w:p w14:paraId="531F030C" w14:textId="33BC020D" w:rsidR="00D374B4" w:rsidRPr="008E7D05" w:rsidRDefault="00864E8C" w:rsidP="00D374B4">
      <w:pPr>
        <w:spacing w:line="276" w:lineRule="auto"/>
        <w:jc w:val="both"/>
        <w:rPr>
          <w:rFonts w:eastAsiaTheme="minorHAnsi" w:cs="Arial"/>
          <w:color w:val="000000"/>
          <w:sz w:val="24"/>
          <w:szCs w:val="24"/>
          <w:lang w:val="es-419" w:eastAsia="en-US"/>
        </w:rPr>
      </w:pPr>
      <w:r w:rsidRPr="00B64C5C">
        <w:rPr>
          <w:rFonts w:eastAsiaTheme="minorHAnsi" w:cs="Arial"/>
          <w:bCs/>
          <w:color w:val="000000"/>
          <w:sz w:val="24"/>
          <w:szCs w:val="24"/>
          <w:lang w:eastAsia="en-US"/>
        </w:rPr>
        <w:t>El</w:t>
      </w:r>
      <w:r w:rsidRPr="003E0A18">
        <w:rPr>
          <w:rFonts w:eastAsiaTheme="minorHAnsi" w:cs="Arial"/>
          <w:b/>
          <w:bCs/>
          <w:color w:val="000000"/>
          <w:sz w:val="24"/>
          <w:szCs w:val="24"/>
          <w:lang w:eastAsia="en-US"/>
        </w:rPr>
        <w:t xml:space="preserve"> Jefe de la Oficina de Asuntos Disciplinarios de la Contraloría de Bogotá, D.</w:t>
      </w:r>
      <w:r w:rsidR="00B64C5C">
        <w:rPr>
          <w:rFonts w:eastAsiaTheme="minorHAnsi" w:cs="Arial"/>
          <w:b/>
          <w:bCs/>
          <w:color w:val="000000"/>
          <w:sz w:val="24"/>
          <w:szCs w:val="24"/>
          <w:lang w:eastAsia="en-US"/>
        </w:rPr>
        <w:t xml:space="preserve"> </w:t>
      </w:r>
      <w:r w:rsidRPr="003E0A18">
        <w:rPr>
          <w:rFonts w:eastAsiaTheme="minorHAnsi" w:cs="Arial"/>
          <w:b/>
          <w:bCs/>
          <w:color w:val="000000"/>
          <w:sz w:val="24"/>
          <w:szCs w:val="24"/>
          <w:lang w:eastAsia="en-US"/>
        </w:rPr>
        <w:t>C.,</w:t>
      </w:r>
      <w:r w:rsidRPr="003E0A18">
        <w:rPr>
          <w:rFonts w:eastAsiaTheme="minorHAnsi" w:cs="Arial"/>
          <w:color w:val="000000"/>
          <w:sz w:val="24"/>
          <w:szCs w:val="24"/>
          <w:lang w:eastAsia="en-US"/>
        </w:rPr>
        <w:t xml:space="preserve"> en uso de las atribuciones conferidas en</w:t>
      </w:r>
      <w:r w:rsidRPr="003E0A18">
        <w:rPr>
          <w:rFonts w:eastAsiaTheme="minorHAnsi" w:cs="Arial"/>
          <w:color w:val="000000"/>
          <w:sz w:val="24"/>
          <w:szCs w:val="24"/>
          <w:lang w:val="es-419" w:eastAsia="en-US"/>
        </w:rPr>
        <w:t xml:space="preserve"> los artículos 83,84, 93</w:t>
      </w:r>
      <w:r w:rsidRPr="003E0A18">
        <w:rPr>
          <w:rStyle w:val="Refdenotaalpie"/>
          <w:rFonts w:eastAsiaTheme="minorHAnsi" w:cs="Arial"/>
          <w:color w:val="000000"/>
          <w:sz w:val="24"/>
          <w:szCs w:val="24"/>
          <w:lang w:val="es-419" w:eastAsia="en-US"/>
        </w:rPr>
        <w:footnoteReference w:id="1"/>
      </w:r>
      <w:r w:rsidRPr="003E0A18">
        <w:rPr>
          <w:rFonts w:eastAsiaTheme="minorHAnsi" w:cs="Arial"/>
          <w:color w:val="000000"/>
          <w:sz w:val="24"/>
          <w:szCs w:val="24"/>
          <w:lang w:val="es-419" w:eastAsia="en-US"/>
        </w:rPr>
        <w:t xml:space="preserve"> de la Ley 1952 de 2019</w:t>
      </w:r>
      <w:r w:rsidRPr="003E0A18">
        <w:rPr>
          <w:rFonts w:eastAsia="Calibri" w:cs="Arial"/>
          <w:color w:val="000000"/>
          <w:sz w:val="24"/>
          <w:szCs w:val="24"/>
          <w:lang w:val="es-419" w:eastAsia="en-US"/>
        </w:rPr>
        <w:t>, en</w:t>
      </w:r>
      <w:r w:rsidRPr="003E0A18">
        <w:rPr>
          <w:rFonts w:eastAsiaTheme="minorHAnsi" w:cs="Arial"/>
          <w:color w:val="000000"/>
          <w:sz w:val="24"/>
          <w:szCs w:val="24"/>
          <w:lang w:eastAsia="en-US"/>
        </w:rPr>
        <w:t xml:space="preserve"> concordancia con el artículo 34 del Acuerdo </w:t>
      </w:r>
      <w:r w:rsidRPr="003E0A18">
        <w:rPr>
          <w:rFonts w:eastAsiaTheme="minorHAnsi" w:cs="Arial"/>
          <w:color w:val="000000"/>
          <w:sz w:val="24"/>
          <w:szCs w:val="24"/>
          <w:lang w:val="es-419" w:eastAsia="en-US"/>
        </w:rPr>
        <w:t>N</w:t>
      </w:r>
      <w:r w:rsidR="006654FE">
        <w:rPr>
          <w:rFonts w:eastAsiaTheme="minorHAnsi" w:cs="Arial"/>
          <w:color w:val="000000"/>
          <w:sz w:val="24"/>
          <w:szCs w:val="24"/>
          <w:lang w:val="es-419" w:eastAsia="en-US"/>
        </w:rPr>
        <w:t xml:space="preserve">o </w:t>
      </w:r>
      <w:r w:rsidRPr="003E0A18">
        <w:rPr>
          <w:rFonts w:eastAsiaTheme="minorHAnsi" w:cs="Arial"/>
          <w:color w:val="000000"/>
          <w:sz w:val="24"/>
          <w:szCs w:val="24"/>
          <w:lang w:val="es-419" w:eastAsia="en-US"/>
        </w:rPr>
        <w:t xml:space="preserve"> </w:t>
      </w:r>
      <w:r w:rsidRPr="003E0A18">
        <w:rPr>
          <w:rFonts w:eastAsiaTheme="minorHAnsi" w:cs="Arial"/>
          <w:color w:val="000000"/>
          <w:sz w:val="24"/>
          <w:szCs w:val="24"/>
          <w:lang w:eastAsia="en-US"/>
        </w:rPr>
        <w:t xml:space="preserve">658 de 2016, </w:t>
      </w:r>
      <w:r w:rsidRPr="003E0A18">
        <w:rPr>
          <w:rFonts w:cs="Arial"/>
          <w:color w:val="000000"/>
          <w:sz w:val="24"/>
          <w:szCs w:val="24"/>
        </w:rPr>
        <w:t>modificado parcialmente por el Acuerdo 664 de 2017,</w:t>
      </w:r>
      <w:r w:rsidRPr="003E0A18">
        <w:rPr>
          <w:rFonts w:cs="Arial"/>
          <w:color w:val="000000"/>
          <w:sz w:val="24"/>
          <w:szCs w:val="24"/>
          <w:lang w:val="es-419"/>
        </w:rPr>
        <w:t xml:space="preserve"> </w:t>
      </w:r>
      <w:r w:rsidRPr="003E0A18">
        <w:rPr>
          <w:rFonts w:cs="Arial"/>
          <w:color w:val="000000"/>
          <w:sz w:val="24"/>
          <w:szCs w:val="24"/>
        </w:rPr>
        <w:t>expedidos por el Concejo de Bogotá</w:t>
      </w:r>
      <w:r w:rsidRPr="003E0A18">
        <w:rPr>
          <w:rFonts w:eastAsiaTheme="minorHAnsi" w:cs="Arial"/>
          <w:color w:val="000000"/>
          <w:sz w:val="24"/>
          <w:szCs w:val="24"/>
          <w:lang w:eastAsia="en-US"/>
        </w:rPr>
        <w:t>,</w:t>
      </w:r>
      <w:r w:rsidRPr="003E0A18">
        <w:rPr>
          <w:rFonts w:eastAsiaTheme="minorHAnsi" w:cs="Arial"/>
          <w:color w:val="000000"/>
          <w:sz w:val="24"/>
          <w:szCs w:val="24"/>
          <w:lang w:val="es-419" w:eastAsia="en-US"/>
        </w:rPr>
        <w:t xml:space="preserve"> y la Resolución Reglamentaria N</w:t>
      </w:r>
      <w:r w:rsidR="00D374B4">
        <w:rPr>
          <w:rFonts w:eastAsiaTheme="minorHAnsi" w:cs="Arial"/>
          <w:color w:val="000000"/>
          <w:sz w:val="24"/>
          <w:szCs w:val="24"/>
          <w:lang w:val="es-419" w:eastAsia="en-US"/>
        </w:rPr>
        <w:t>º</w:t>
      </w:r>
      <w:r w:rsidR="006654FE">
        <w:rPr>
          <w:rFonts w:eastAsiaTheme="minorHAnsi" w:cs="Arial"/>
          <w:color w:val="000000"/>
          <w:sz w:val="24"/>
          <w:szCs w:val="24"/>
          <w:lang w:val="es-419" w:eastAsia="en-US"/>
        </w:rPr>
        <w:t xml:space="preserve"> </w:t>
      </w:r>
      <w:r w:rsidR="00D374B4">
        <w:rPr>
          <w:rFonts w:cs="Arial"/>
          <w:color w:val="000000"/>
          <w:sz w:val="24"/>
          <w:szCs w:val="24"/>
        </w:rPr>
        <w:t xml:space="preserve">xxx </w:t>
      </w:r>
      <w:r w:rsidRPr="003E0A18">
        <w:rPr>
          <w:rFonts w:eastAsiaTheme="minorHAnsi" w:cs="Arial"/>
          <w:color w:val="000000"/>
          <w:sz w:val="24"/>
          <w:szCs w:val="24"/>
          <w:lang w:val="es-419" w:eastAsia="en-US"/>
        </w:rPr>
        <w:t xml:space="preserve">procede a </w:t>
      </w:r>
      <w:r w:rsidRPr="003E0A18">
        <w:rPr>
          <w:rFonts w:eastAsia="Calibri" w:cs="Arial"/>
          <w:sz w:val="24"/>
          <w:szCs w:val="24"/>
          <w:lang w:val="es-CO" w:eastAsia="en-US"/>
        </w:rPr>
        <w:t xml:space="preserve">decidir </w:t>
      </w:r>
      <w:r w:rsidRPr="00DE3A7D">
        <w:rPr>
          <w:rFonts w:eastAsia="Calibri" w:cs="Arial"/>
          <w:sz w:val="24"/>
          <w:szCs w:val="24"/>
          <w:lang w:val="es-CO" w:eastAsia="en-US"/>
        </w:rPr>
        <w:t>sobre la remisión de</w:t>
      </w:r>
      <w:r w:rsidR="00D374B4">
        <w:rPr>
          <w:rFonts w:eastAsia="Calibri" w:cs="Arial"/>
          <w:sz w:val="24"/>
          <w:szCs w:val="24"/>
          <w:lang w:val="es-CO" w:eastAsia="en-US"/>
        </w:rPr>
        <w:t>l presente proceso Nº</w:t>
      </w:r>
      <w:r>
        <w:rPr>
          <w:rFonts w:eastAsia="Calibri" w:cs="Arial"/>
          <w:sz w:val="24"/>
          <w:szCs w:val="24"/>
          <w:lang w:val="es-CO" w:eastAsia="en-US"/>
        </w:rPr>
        <w:t xml:space="preserve"> </w:t>
      </w:r>
      <w:r w:rsidR="00D374B4" w:rsidRPr="008E7D05">
        <w:rPr>
          <w:rFonts w:eastAsiaTheme="minorHAnsi" w:cs="Arial"/>
          <w:color w:val="000000"/>
          <w:sz w:val="24"/>
          <w:szCs w:val="24"/>
          <w:lang w:val="es-419" w:eastAsia="en-US"/>
        </w:rPr>
        <w:t>(</w:t>
      </w:r>
      <w:r w:rsidR="00D374B4" w:rsidRPr="00B52386">
        <w:rPr>
          <w:rFonts w:eastAsiaTheme="minorHAnsi" w:cs="Arial"/>
          <w:i/>
          <w:sz w:val="24"/>
          <w:szCs w:val="24"/>
          <w:lang w:val="es-419" w:eastAsia="en-US"/>
        </w:rPr>
        <w:t>señalar el número del expediente disciplinario</w:t>
      </w:r>
      <w:r w:rsidR="00D374B4">
        <w:rPr>
          <w:rFonts w:eastAsiaTheme="minorHAnsi" w:cs="Arial"/>
          <w:i/>
          <w:sz w:val="24"/>
          <w:szCs w:val="24"/>
          <w:lang w:val="es-ES" w:eastAsia="en-US"/>
        </w:rPr>
        <w:t xml:space="preserve">), </w:t>
      </w:r>
      <w:r w:rsidR="00D374B4" w:rsidRPr="008E7D05">
        <w:rPr>
          <w:rFonts w:eastAsiaTheme="minorHAnsi" w:cs="Arial"/>
          <w:color w:val="000000"/>
          <w:sz w:val="24"/>
          <w:szCs w:val="24"/>
          <w:lang w:val="es-419" w:eastAsia="en-US"/>
        </w:rPr>
        <w:t xml:space="preserve">con base en los siguientes: </w:t>
      </w:r>
      <w:r w:rsidR="00D374B4" w:rsidRPr="008E7D05">
        <w:rPr>
          <w:rFonts w:eastAsiaTheme="minorHAnsi" w:cs="Arial"/>
          <w:color w:val="000000"/>
          <w:sz w:val="24"/>
          <w:szCs w:val="24"/>
          <w:lang w:val="es-CO" w:eastAsia="en-US"/>
        </w:rPr>
        <w:t xml:space="preserve"> </w:t>
      </w:r>
    </w:p>
    <w:p w14:paraId="2B9B979F" w14:textId="6B831B04" w:rsidR="00864E8C" w:rsidRPr="003E0A18" w:rsidRDefault="00864E8C" w:rsidP="00321C0C">
      <w:pPr>
        <w:spacing w:line="276" w:lineRule="auto"/>
        <w:jc w:val="both"/>
        <w:rPr>
          <w:rFonts w:eastAsia="Calibri" w:cs="Arial"/>
          <w:sz w:val="24"/>
          <w:szCs w:val="24"/>
          <w:lang w:val="es-CO" w:eastAsia="en-US"/>
        </w:rPr>
      </w:pPr>
    </w:p>
    <w:p w14:paraId="1C7F6393" w14:textId="77777777" w:rsidR="00DE3A7D" w:rsidRPr="00DE3A7D" w:rsidRDefault="00DE3A7D" w:rsidP="00321C0C">
      <w:pPr>
        <w:spacing w:line="276" w:lineRule="auto"/>
        <w:jc w:val="center"/>
        <w:rPr>
          <w:rFonts w:eastAsia="Calibri" w:cs="Arial"/>
          <w:b/>
          <w:sz w:val="24"/>
          <w:szCs w:val="24"/>
          <w:lang w:val="es-CO" w:eastAsia="en-US"/>
        </w:rPr>
      </w:pPr>
      <w:r w:rsidRPr="00DE3A7D">
        <w:rPr>
          <w:rFonts w:eastAsia="Calibri" w:cs="Arial"/>
          <w:b/>
          <w:sz w:val="24"/>
          <w:szCs w:val="24"/>
          <w:lang w:val="es-CO" w:eastAsia="en-US"/>
        </w:rPr>
        <w:t>CONSIDERACIONES DEL DESPACHO</w:t>
      </w:r>
    </w:p>
    <w:p w14:paraId="17FA2F1C" w14:textId="1EB47B37" w:rsidR="00006083" w:rsidRDefault="00DE3A7D" w:rsidP="00321C0C">
      <w:pPr>
        <w:spacing w:line="276" w:lineRule="auto"/>
        <w:jc w:val="both"/>
        <w:rPr>
          <w:rFonts w:eastAsia="Calibri" w:cs="Arial"/>
          <w:sz w:val="24"/>
          <w:szCs w:val="24"/>
          <w:lang w:val="es-CO" w:eastAsia="en-US"/>
        </w:rPr>
      </w:pPr>
      <w:r w:rsidRPr="00DE3A7D">
        <w:rPr>
          <w:rFonts w:eastAsia="Calibri" w:cs="Arial"/>
          <w:sz w:val="24"/>
          <w:szCs w:val="24"/>
          <w:lang w:val="es-CO" w:eastAsia="en-US"/>
        </w:rPr>
        <w:t xml:space="preserve"> </w:t>
      </w:r>
    </w:p>
    <w:p w14:paraId="39CDCAAA" w14:textId="499FF155" w:rsidR="00006083" w:rsidRPr="00DE3A7D" w:rsidRDefault="00006083" w:rsidP="00321C0C">
      <w:pPr>
        <w:spacing w:line="276" w:lineRule="auto"/>
        <w:jc w:val="both"/>
        <w:rPr>
          <w:rFonts w:eastAsia="Calibri" w:cs="Arial"/>
          <w:sz w:val="24"/>
          <w:szCs w:val="24"/>
          <w:lang w:val="es-CO" w:eastAsia="en-US"/>
        </w:rPr>
      </w:pPr>
      <w:r w:rsidRPr="00DE3A7D">
        <w:rPr>
          <w:rFonts w:eastAsia="Calibri" w:cs="Arial"/>
          <w:sz w:val="24"/>
          <w:szCs w:val="24"/>
          <w:lang w:val="es-CO" w:eastAsia="en-US"/>
        </w:rPr>
        <w:t xml:space="preserve">Verificados los hechos denunciados dentro de las presentes diligencias, se estableció que los mismos pueden ser de competencia de la Procuraduría General de la Nación, razón por la cual se ordenará su remisión inmediata. </w:t>
      </w:r>
    </w:p>
    <w:p w14:paraId="5E1BC85B" w14:textId="26E49ED2" w:rsidR="00DE3A7D" w:rsidRPr="00DE3A7D" w:rsidRDefault="00DE3A7D" w:rsidP="00321C0C">
      <w:pPr>
        <w:spacing w:line="276" w:lineRule="auto"/>
        <w:jc w:val="both"/>
        <w:rPr>
          <w:rFonts w:eastAsia="Calibri" w:cs="Arial"/>
          <w:sz w:val="24"/>
          <w:szCs w:val="24"/>
          <w:lang w:val="es-CO" w:eastAsia="en-US"/>
        </w:rPr>
      </w:pPr>
    </w:p>
    <w:p w14:paraId="4F094EBC" w14:textId="082A1417" w:rsidR="00006083" w:rsidRDefault="00897DB8" w:rsidP="00321C0C">
      <w:pPr>
        <w:spacing w:line="276" w:lineRule="auto"/>
        <w:jc w:val="both"/>
        <w:rPr>
          <w:rFonts w:eastAsia="Calibri" w:cs="Arial"/>
          <w:sz w:val="24"/>
          <w:szCs w:val="24"/>
          <w:lang w:val="es-CO" w:eastAsia="en-US"/>
        </w:rPr>
      </w:pPr>
      <w:r>
        <w:rPr>
          <w:rFonts w:eastAsia="Calibri" w:cs="Arial"/>
          <w:sz w:val="24"/>
          <w:szCs w:val="24"/>
          <w:lang w:val="es-CO" w:eastAsia="en-US"/>
        </w:rPr>
        <w:t>D</w:t>
      </w:r>
      <w:r w:rsidR="00DE3A7D" w:rsidRPr="00DE3A7D">
        <w:rPr>
          <w:rFonts w:eastAsia="Calibri" w:cs="Arial"/>
          <w:sz w:val="24"/>
          <w:szCs w:val="24"/>
          <w:lang w:val="es-CO" w:eastAsia="en-US"/>
        </w:rPr>
        <w:t>e conformidad con l</w:t>
      </w:r>
      <w:r w:rsidR="00006083">
        <w:rPr>
          <w:rFonts w:eastAsia="Calibri" w:cs="Arial"/>
          <w:sz w:val="24"/>
          <w:szCs w:val="24"/>
          <w:lang w:val="es-CO" w:eastAsia="en-US"/>
        </w:rPr>
        <w:t xml:space="preserve">o dispuesto por el </w:t>
      </w:r>
      <w:r w:rsidR="00006083" w:rsidRPr="00DE3A7D">
        <w:rPr>
          <w:rFonts w:eastAsia="Calibri" w:cs="Arial"/>
          <w:sz w:val="24"/>
          <w:szCs w:val="24"/>
          <w:lang w:val="es-CO" w:eastAsia="en-US"/>
        </w:rPr>
        <w:t>Código General Disciplinario</w:t>
      </w:r>
      <w:r>
        <w:rPr>
          <w:rFonts w:eastAsia="Calibri" w:cs="Arial"/>
          <w:sz w:val="24"/>
          <w:szCs w:val="24"/>
          <w:lang w:val="es-CO" w:eastAsia="en-US"/>
        </w:rPr>
        <w:t>, v</w:t>
      </w:r>
      <w:r w:rsidRPr="00DE3A7D">
        <w:rPr>
          <w:rFonts w:eastAsia="Calibri" w:cs="Arial"/>
          <w:sz w:val="24"/>
          <w:szCs w:val="24"/>
          <w:lang w:val="es-CO" w:eastAsia="en-US"/>
        </w:rPr>
        <w:t xml:space="preserve">erificados los hechos </w:t>
      </w:r>
      <w:r>
        <w:rPr>
          <w:rFonts w:eastAsia="Calibri" w:cs="Arial"/>
          <w:sz w:val="24"/>
          <w:szCs w:val="24"/>
          <w:lang w:val="es-CO" w:eastAsia="en-US"/>
        </w:rPr>
        <w:t>puestos en conocimiento que originaron las</w:t>
      </w:r>
      <w:r w:rsidRPr="00DE3A7D">
        <w:rPr>
          <w:rFonts w:eastAsia="Calibri" w:cs="Arial"/>
          <w:sz w:val="24"/>
          <w:szCs w:val="24"/>
          <w:lang w:val="es-CO" w:eastAsia="en-US"/>
        </w:rPr>
        <w:t xml:space="preserve"> presentes diligencias</w:t>
      </w:r>
      <w:r w:rsidR="00CF4325">
        <w:rPr>
          <w:rFonts w:eastAsia="Calibri" w:cs="Arial"/>
          <w:sz w:val="24"/>
          <w:szCs w:val="24"/>
          <w:lang w:val="es-CO" w:eastAsia="en-US"/>
        </w:rPr>
        <w:t>,</w:t>
      </w:r>
      <w:r>
        <w:rPr>
          <w:rFonts w:eastAsia="Calibri" w:cs="Arial"/>
          <w:sz w:val="24"/>
          <w:szCs w:val="24"/>
          <w:lang w:val="es-CO" w:eastAsia="en-US"/>
        </w:rPr>
        <w:t xml:space="preserve"> la calidad del sujeto disciplinable</w:t>
      </w:r>
      <w:r>
        <w:rPr>
          <w:rStyle w:val="Refdenotaalpie"/>
          <w:rFonts w:eastAsia="Calibri" w:cs="Arial"/>
          <w:sz w:val="24"/>
          <w:szCs w:val="24"/>
          <w:lang w:val="es-CO" w:eastAsia="en-US"/>
        </w:rPr>
        <w:footnoteReference w:id="2"/>
      </w:r>
      <w:r>
        <w:rPr>
          <w:rFonts w:eastAsia="Calibri" w:cs="Arial"/>
          <w:sz w:val="24"/>
          <w:szCs w:val="24"/>
          <w:lang w:val="es-CO" w:eastAsia="en-US"/>
        </w:rPr>
        <w:t xml:space="preserve"> </w:t>
      </w:r>
      <w:r w:rsidR="00006083">
        <w:rPr>
          <w:rFonts w:eastAsia="Calibri" w:cs="Arial"/>
          <w:sz w:val="24"/>
          <w:szCs w:val="24"/>
          <w:lang w:val="es-CO" w:eastAsia="en-US"/>
        </w:rPr>
        <w:t xml:space="preserve">observa el despacho que la competencia para conocer este proceso disciplinario </w:t>
      </w:r>
      <w:r w:rsidR="00CF4325">
        <w:rPr>
          <w:rFonts w:eastAsia="Calibri" w:cs="Arial"/>
          <w:sz w:val="24"/>
          <w:szCs w:val="24"/>
          <w:lang w:val="es-CO" w:eastAsia="en-US"/>
        </w:rPr>
        <w:t xml:space="preserve">puede estar en </w:t>
      </w:r>
      <w:r w:rsidR="00006083">
        <w:rPr>
          <w:rFonts w:eastAsia="Calibri" w:cs="Arial"/>
          <w:sz w:val="24"/>
          <w:szCs w:val="24"/>
          <w:lang w:val="es-CO" w:eastAsia="en-US"/>
        </w:rPr>
        <w:t>cabeza de la Procuraduría General de la Nación</w:t>
      </w:r>
      <w:r w:rsidR="00CF4325">
        <w:rPr>
          <w:rFonts w:eastAsia="Calibri" w:cs="Arial"/>
          <w:sz w:val="24"/>
          <w:szCs w:val="24"/>
          <w:lang w:val="es-CO" w:eastAsia="en-US"/>
        </w:rPr>
        <w:t>, razón por la cual se ordena el envío de manera inmediata de la actuación.</w:t>
      </w:r>
    </w:p>
    <w:p w14:paraId="55018F7A" w14:textId="77777777" w:rsidR="00CF4325" w:rsidRDefault="00CF4325" w:rsidP="00321C0C">
      <w:pPr>
        <w:spacing w:line="276" w:lineRule="auto"/>
        <w:contextualSpacing/>
        <w:jc w:val="both"/>
        <w:rPr>
          <w:rFonts w:eastAsia="Calibri" w:cs="Arial"/>
          <w:sz w:val="24"/>
          <w:szCs w:val="24"/>
          <w:lang w:val="es-CO" w:eastAsia="en-US"/>
        </w:rPr>
      </w:pPr>
    </w:p>
    <w:p w14:paraId="0E2AC189" w14:textId="5CEA55A5" w:rsidR="00CF4325" w:rsidRDefault="00CF4325" w:rsidP="00321C0C">
      <w:pPr>
        <w:spacing w:line="276" w:lineRule="auto"/>
        <w:contextualSpacing/>
        <w:jc w:val="both"/>
        <w:rPr>
          <w:rFonts w:cs="Arial"/>
          <w:sz w:val="24"/>
          <w:szCs w:val="24"/>
        </w:rPr>
      </w:pPr>
      <w:r w:rsidRPr="009C5437">
        <w:rPr>
          <w:rFonts w:cs="Arial"/>
          <w:sz w:val="24"/>
          <w:szCs w:val="24"/>
        </w:rPr>
        <w:t xml:space="preserve">Por lo expuesto, el </w:t>
      </w:r>
      <w:r>
        <w:rPr>
          <w:rFonts w:cs="Arial"/>
          <w:sz w:val="24"/>
          <w:szCs w:val="24"/>
        </w:rPr>
        <w:t>J</w:t>
      </w:r>
      <w:r w:rsidRPr="009C5437">
        <w:rPr>
          <w:rFonts w:cs="Arial"/>
          <w:sz w:val="24"/>
          <w:szCs w:val="24"/>
        </w:rPr>
        <w:t>efe de la Oficina de Asuntos Disciplinarios de la Contraloría de Bogotá</w:t>
      </w:r>
      <w:r w:rsidR="00D374B4">
        <w:rPr>
          <w:rFonts w:cs="Arial"/>
          <w:sz w:val="24"/>
          <w:szCs w:val="24"/>
        </w:rPr>
        <w:t xml:space="preserve"> D.C.</w:t>
      </w:r>
      <w:r w:rsidRPr="009C5437">
        <w:rPr>
          <w:rFonts w:cs="Arial"/>
          <w:sz w:val="24"/>
          <w:szCs w:val="24"/>
        </w:rPr>
        <w:t>, en uso de sus facultades legales,</w:t>
      </w:r>
    </w:p>
    <w:p w14:paraId="7C35B4ED" w14:textId="77777777" w:rsidR="005C782C" w:rsidRPr="009C5437" w:rsidRDefault="005C782C" w:rsidP="00321C0C">
      <w:pPr>
        <w:spacing w:line="276" w:lineRule="auto"/>
        <w:contextualSpacing/>
        <w:jc w:val="both"/>
        <w:rPr>
          <w:rFonts w:cs="Arial"/>
          <w:sz w:val="24"/>
          <w:szCs w:val="24"/>
        </w:rPr>
      </w:pPr>
    </w:p>
    <w:p w14:paraId="559079E6" w14:textId="194F69C8" w:rsidR="00DE3A7D" w:rsidRPr="00DE3A7D" w:rsidRDefault="00DE3A7D" w:rsidP="00321C0C">
      <w:pPr>
        <w:spacing w:line="276" w:lineRule="auto"/>
        <w:jc w:val="both"/>
        <w:rPr>
          <w:rFonts w:eastAsia="Calibri" w:cs="Arial"/>
          <w:sz w:val="24"/>
          <w:szCs w:val="24"/>
          <w:lang w:val="es-CO" w:eastAsia="en-US"/>
        </w:rPr>
      </w:pPr>
    </w:p>
    <w:p w14:paraId="2D376C9A" w14:textId="6E5025C5" w:rsidR="00DE3A7D" w:rsidRPr="00DE3A7D" w:rsidRDefault="00DE3A7D" w:rsidP="00321C0C">
      <w:pPr>
        <w:spacing w:line="276" w:lineRule="auto"/>
        <w:jc w:val="center"/>
        <w:rPr>
          <w:rFonts w:eastAsia="Calibri" w:cs="Arial"/>
          <w:b/>
          <w:sz w:val="24"/>
          <w:szCs w:val="24"/>
          <w:lang w:val="es-CO" w:eastAsia="en-US"/>
        </w:rPr>
      </w:pPr>
      <w:r w:rsidRPr="00DE3A7D">
        <w:rPr>
          <w:rFonts w:eastAsia="Calibri" w:cs="Arial"/>
          <w:b/>
          <w:sz w:val="24"/>
          <w:szCs w:val="24"/>
          <w:lang w:val="es-CO" w:eastAsia="en-US"/>
        </w:rPr>
        <w:t>RESUELVE:</w:t>
      </w:r>
    </w:p>
    <w:p w14:paraId="424E0A2A" w14:textId="77777777" w:rsidR="00DE3A7D" w:rsidRPr="00DE3A7D" w:rsidRDefault="00DE3A7D" w:rsidP="00321C0C">
      <w:pPr>
        <w:spacing w:line="276" w:lineRule="auto"/>
        <w:jc w:val="both"/>
        <w:rPr>
          <w:rFonts w:eastAsia="Calibri" w:cs="Arial"/>
          <w:sz w:val="24"/>
          <w:szCs w:val="24"/>
          <w:lang w:val="es-CO" w:eastAsia="en-US"/>
        </w:rPr>
      </w:pPr>
      <w:r w:rsidRPr="00DE3A7D">
        <w:rPr>
          <w:rFonts w:eastAsia="Calibri" w:cs="Arial"/>
          <w:sz w:val="24"/>
          <w:szCs w:val="24"/>
          <w:lang w:val="es-CO" w:eastAsia="en-US"/>
        </w:rPr>
        <w:t xml:space="preserve"> </w:t>
      </w:r>
    </w:p>
    <w:p w14:paraId="46E8CC44" w14:textId="2C524A5E" w:rsidR="00DE3A7D" w:rsidRPr="00DE3A7D" w:rsidRDefault="00DE3A7D" w:rsidP="00321C0C">
      <w:pPr>
        <w:spacing w:line="276" w:lineRule="auto"/>
        <w:jc w:val="both"/>
        <w:rPr>
          <w:rFonts w:eastAsia="Calibri" w:cs="Arial"/>
          <w:sz w:val="24"/>
          <w:szCs w:val="24"/>
          <w:lang w:val="es-CO" w:eastAsia="en-US"/>
        </w:rPr>
      </w:pPr>
      <w:r w:rsidRPr="00DE3A7D">
        <w:rPr>
          <w:rFonts w:eastAsia="Calibri" w:cs="Arial"/>
          <w:b/>
          <w:bCs/>
          <w:sz w:val="24"/>
          <w:szCs w:val="24"/>
          <w:lang w:val="es-CO" w:eastAsia="en-US"/>
        </w:rPr>
        <w:t>PRIMERO:</w:t>
      </w:r>
      <w:r w:rsidRPr="00DE3A7D">
        <w:rPr>
          <w:rFonts w:eastAsia="Calibri" w:cs="Arial"/>
          <w:sz w:val="24"/>
          <w:szCs w:val="24"/>
          <w:lang w:val="es-CO" w:eastAsia="en-US"/>
        </w:rPr>
        <w:t xml:space="preserve"> Remitir el expediente con radicación </w:t>
      </w:r>
      <w:r w:rsidR="00D374B4">
        <w:rPr>
          <w:rFonts w:eastAsia="Calibri" w:cs="Arial"/>
          <w:sz w:val="24"/>
          <w:szCs w:val="24"/>
          <w:lang w:val="es-CO" w:eastAsia="en-US"/>
        </w:rPr>
        <w:t>Nº</w:t>
      </w:r>
      <w:r w:rsidR="00CF4325">
        <w:rPr>
          <w:rFonts w:eastAsia="Calibri" w:cs="Arial"/>
          <w:sz w:val="24"/>
          <w:szCs w:val="24"/>
          <w:lang w:val="es-CO" w:eastAsia="en-US"/>
        </w:rPr>
        <w:t xml:space="preserve"> </w:t>
      </w:r>
      <w:r w:rsidR="00D374B4">
        <w:rPr>
          <w:rFonts w:eastAsia="Calibri" w:cs="Arial"/>
          <w:sz w:val="24"/>
          <w:szCs w:val="24"/>
          <w:lang w:val="es-CO" w:eastAsia="en-US"/>
        </w:rPr>
        <w:t xml:space="preserve">XXX </w:t>
      </w:r>
      <w:r w:rsidR="006C0362" w:rsidRPr="00DE3A7D">
        <w:rPr>
          <w:rFonts w:eastAsia="Calibri" w:cs="Arial"/>
          <w:sz w:val="24"/>
          <w:szCs w:val="24"/>
          <w:lang w:val="es-CO" w:eastAsia="en-US"/>
        </w:rPr>
        <w:t>a</w:t>
      </w:r>
      <w:r w:rsidRPr="00DE3A7D">
        <w:rPr>
          <w:rFonts w:eastAsia="Calibri" w:cs="Arial"/>
          <w:sz w:val="24"/>
          <w:szCs w:val="24"/>
          <w:lang w:val="es-CO" w:eastAsia="en-US"/>
        </w:rPr>
        <w:t xml:space="preserve"> </w:t>
      </w:r>
      <w:r w:rsidR="006C0362" w:rsidRPr="00DE3A7D">
        <w:rPr>
          <w:rFonts w:eastAsia="Calibri" w:cs="Arial"/>
          <w:sz w:val="24"/>
          <w:szCs w:val="24"/>
          <w:lang w:val="es-CO" w:eastAsia="en-US"/>
        </w:rPr>
        <w:t>la Procuraduría</w:t>
      </w:r>
      <w:r w:rsidRPr="00DE3A7D">
        <w:rPr>
          <w:rFonts w:eastAsia="Calibri" w:cs="Arial"/>
          <w:sz w:val="24"/>
          <w:szCs w:val="24"/>
          <w:lang w:val="es-CO" w:eastAsia="en-US"/>
        </w:rPr>
        <w:t xml:space="preserve"> General de la Nación, para que de acuerdo con su competencia se adelanten o continúen las diligencias a que haya lugar,  </w:t>
      </w:r>
    </w:p>
    <w:p w14:paraId="6BF132D4" w14:textId="77777777" w:rsidR="00DE3A7D" w:rsidRPr="00DE3A7D" w:rsidRDefault="00DE3A7D" w:rsidP="00321C0C">
      <w:pPr>
        <w:spacing w:line="276" w:lineRule="auto"/>
        <w:jc w:val="both"/>
        <w:rPr>
          <w:rFonts w:eastAsia="Calibri" w:cs="Arial"/>
          <w:sz w:val="24"/>
          <w:szCs w:val="24"/>
          <w:lang w:val="es-CO" w:eastAsia="en-US"/>
        </w:rPr>
      </w:pPr>
      <w:r w:rsidRPr="00DE3A7D">
        <w:rPr>
          <w:rFonts w:eastAsia="Calibri" w:cs="Arial"/>
          <w:sz w:val="24"/>
          <w:szCs w:val="24"/>
          <w:lang w:val="es-CO" w:eastAsia="en-US"/>
        </w:rPr>
        <w:t xml:space="preserve"> </w:t>
      </w:r>
    </w:p>
    <w:p w14:paraId="1F37DEF6" w14:textId="5556B248" w:rsidR="00DE3A7D" w:rsidRPr="00DE3A7D" w:rsidRDefault="00DE3A7D" w:rsidP="00321C0C">
      <w:pPr>
        <w:spacing w:line="276" w:lineRule="auto"/>
        <w:jc w:val="both"/>
        <w:rPr>
          <w:rFonts w:eastAsia="Calibri" w:cs="Arial"/>
          <w:sz w:val="24"/>
          <w:szCs w:val="24"/>
          <w:lang w:val="es-CO" w:eastAsia="en-US"/>
        </w:rPr>
      </w:pPr>
      <w:r w:rsidRPr="00DE3A7D">
        <w:rPr>
          <w:rFonts w:eastAsia="Calibri" w:cs="Arial"/>
          <w:b/>
          <w:bCs/>
          <w:sz w:val="24"/>
          <w:szCs w:val="24"/>
          <w:lang w:val="es-CO" w:eastAsia="en-US"/>
        </w:rPr>
        <w:t>SEGUNDO:</w:t>
      </w:r>
      <w:r w:rsidRPr="00DE3A7D">
        <w:rPr>
          <w:rFonts w:eastAsia="Calibri" w:cs="Arial"/>
          <w:sz w:val="24"/>
          <w:szCs w:val="24"/>
          <w:lang w:val="es-CO" w:eastAsia="en-US"/>
        </w:rPr>
        <w:t xml:space="preserve"> Por Secretaría Común hága</w:t>
      </w:r>
      <w:r w:rsidR="006C0362">
        <w:rPr>
          <w:rFonts w:eastAsia="Calibri" w:cs="Arial"/>
          <w:sz w:val="24"/>
          <w:szCs w:val="24"/>
          <w:lang w:val="es-CO" w:eastAsia="en-US"/>
        </w:rPr>
        <w:t>n</w:t>
      </w:r>
      <w:r w:rsidRPr="00DE3A7D">
        <w:rPr>
          <w:rFonts w:eastAsia="Calibri" w:cs="Arial"/>
          <w:sz w:val="24"/>
          <w:szCs w:val="24"/>
          <w:lang w:val="es-CO" w:eastAsia="en-US"/>
        </w:rPr>
        <w:t xml:space="preserve">se la remisión ordenada, las comunicaciones a que haya lugar y las anotaciones pertinentes. </w:t>
      </w:r>
    </w:p>
    <w:p w14:paraId="54F8C77D" w14:textId="77777777" w:rsidR="00321C0C" w:rsidRDefault="00321C0C" w:rsidP="00321C0C">
      <w:pPr>
        <w:spacing w:line="276" w:lineRule="auto"/>
        <w:jc w:val="center"/>
        <w:rPr>
          <w:rFonts w:eastAsia="Calibri" w:cs="Arial"/>
          <w:b/>
          <w:sz w:val="24"/>
          <w:szCs w:val="24"/>
          <w:lang w:val="es-CO" w:eastAsia="en-US"/>
        </w:rPr>
      </w:pPr>
    </w:p>
    <w:p w14:paraId="3D79B54F" w14:textId="14CB43E8" w:rsidR="00DE3A7D" w:rsidRPr="00DE3A7D" w:rsidRDefault="00DE3A7D" w:rsidP="00CF4325">
      <w:pPr>
        <w:spacing w:line="360" w:lineRule="auto"/>
        <w:jc w:val="center"/>
        <w:rPr>
          <w:rFonts w:eastAsia="Calibri" w:cs="Arial"/>
          <w:b/>
          <w:sz w:val="24"/>
          <w:szCs w:val="24"/>
          <w:lang w:val="es-CO" w:eastAsia="en-US"/>
        </w:rPr>
      </w:pPr>
      <w:r w:rsidRPr="00DE3A7D">
        <w:rPr>
          <w:rFonts w:eastAsia="Calibri" w:cs="Arial"/>
          <w:b/>
          <w:sz w:val="24"/>
          <w:szCs w:val="24"/>
          <w:lang w:val="es-CO" w:eastAsia="en-US"/>
        </w:rPr>
        <w:t>COMUNÍQUESE Y CÚMPLASE</w:t>
      </w:r>
    </w:p>
    <w:p w14:paraId="012D7F7B" w14:textId="4E9CA6EE" w:rsidR="00DE3A7D" w:rsidRDefault="00DE3A7D" w:rsidP="008D09D2">
      <w:pPr>
        <w:spacing w:line="276" w:lineRule="auto"/>
        <w:jc w:val="center"/>
        <w:rPr>
          <w:rFonts w:eastAsia="Calibri" w:cs="Arial"/>
          <w:sz w:val="24"/>
          <w:szCs w:val="24"/>
          <w:lang w:val="es-CO" w:eastAsia="en-US"/>
        </w:rPr>
      </w:pPr>
      <w:r w:rsidRPr="00DE3A7D">
        <w:rPr>
          <w:rFonts w:eastAsia="Calibri" w:cs="Arial"/>
          <w:sz w:val="24"/>
          <w:szCs w:val="24"/>
          <w:lang w:val="es-CO" w:eastAsia="en-US"/>
        </w:rPr>
        <w:t>(</w:t>
      </w:r>
      <w:r w:rsidR="00321C0C">
        <w:rPr>
          <w:rFonts w:eastAsia="Calibri" w:cs="Arial"/>
          <w:sz w:val="24"/>
          <w:szCs w:val="24"/>
          <w:lang w:val="es-CO" w:eastAsia="en-US"/>
        </w:rPr>
        <w:t>investigado-quejoso)</w:t>
      </w:r>
    </w:p>
    <w:p w14:paraId="57386EE1" w14:textId="77777777" w:rsidR="00DE3A7D" w:rsidRPr="00DE3A7D" w:rsidRDefault="00DE3A7D" w:rsidP="008D09D2">
      <w:pPr>
        <w:spacing w:line="276" w:lineRule="auto"/>
        <w:jc w:val="both"/>
        <w:rPr>
          <w:rFonts w:eastAsia="Calibri" w:cs="Arial"/>
          <w:sz w:val="24"/>
          <w:szCs w:val="24"/>
          <w:lang w:val="es-CO" w:eastAsia="en-US"/>
        </w:rPr>
      </w:pPr>
    </w:p>
    <w:p w14:paraId="389B7518" w14:textId="77777777" w:rsidR="00321C0C" w:rsidRPr="000A73AA" w:rsidRDefault="00321C0C" w:rsidP="008D09D2">
      <w:pPr>
        <w:spacing w:line="276" w:lineRule="auto"/>
        <w:jc w:val="center"/>
        <w:rPr>
          <w:rFonts w:eastAsia="Calibri" w:cs="Arial"/>
          <w:sz w:val="24"/>
          <w:szCs w:val="24"/>
          <w:lang w:val="es-CO" w:eastAsia="en-US"/>
        </w:rPr>
      </w:pPr>
    </w:p>
    <w:p w14:paraId="3EE7E878" w14:textId="77777777" w:rsidR="00321C0C" w:rsidRDefault="00321C0C" w:rsidP="008D09D2">
      <w:pPr>
        <w:spacing w:line="276" w:lineRule="auto"/>
        <w:jc w:val="center"/>
        <w:rPr>
          <w:rFonts w:cs="Arial"/>
          <w:b/>
          <w:bCs/>
          <w:sz w:val="24"/>
          <w:szCs w:val="24"/>
        </w:rPr>
      </w:pPr>
      <w:r w:rsidRPr="000A73AA">
        <w:rPr>
          <w:rFonts w:eastAsia="Calibri" w:cs="Arial"/>
          <w:b/>
          <w:sz w:val="24"/>
          <w:szCs w:val="24"/>
          <w:lang w:val="es-CO" w:eastAsia="en-US"/>
        </w:rPr>
        <w:t xml:space="preserve">NOMBRE </w:t>
      </w:r>
      <w:r>
        <w:rPr>
          <w:rFonts w:eastAsia="Calibri" w:cs="Arial"/>
          <w:b/>
          <w:sz w:val="24"/>
          <w:szCs w:val="24"/>
          <w:lang w:val="es-CO" w:eastAsia="en-US"/>
        </w:rPr>
        <w:t xml:space="preserve">DEL </w:t>
      </w:r>
      <w:r w:rsidRPr="00470E21">
        <w:rPr>
          <w:rFonts w:cs="Arial"/>
          <w:b/>
          <w:bCs/>
          <w:sz w:val="24"/>
          <w:szCs w:val="24"/>
        </w:rPr>
        <w:t>JEFE OFICINA DE ASUNTOS DISCIPLINARIOS</w:t>
      </w:r>
    </w:p>
    <w:p w14:paraId="61CE19C2" w14:textId="77777777" w:rsidR="00321C0C" w:rsidRDefault="00321C0C" w:rsidP="008D09D2">
      <w:pPr>
        <w:spacing w:line="276" w:lineRule="auto"/>
        <w:jc w:val="center"/>
        <w:rPr>
          <w:rFonts w:cs="Arial"/>
          <w:sz w:val="24"/>
          <w:szCs w:val="24"/>
        </w:rPr>
      </w:pPr>
      <w:r w:rsidRPr="00C62415">
        <w:rPr>
          <w:rFonts w:cs="Arial"/>
          <w:sz w:val="24"/>
          <w:szCs w:val="24"/>
        </w:rPr>
        <w:t>Jefe Oficina de Asuntos Disciplinarios</w:t>
      </w:r>
    </w:p>
    <w:p w14:paraId="3ABF2355" w14:textId="77777777" w:rsidR="00321C0C" w:rsidRDefault="00321C0C" w:rsidP="00321C0C">
      <w:pPr>
        <w:jc w:val="center"/>
        <w:rPr>
          <w:rFonts w:cs="Arial"/>
          <w:sz w:val="24"/>
          <w:szCs w:val="24"/>
        </w:rPr>
      </w:pPr>
    </w:p>
    <w:p w14:paraId="51BB5762" w14:textId="77777777" w:rsidR="00321C0C" w:rsidRPr="000A73AA" w:rsidRDefault="00321C0C" w:rsidP="00321C0C">
      <w:pPr>
        <w:spacing w:line="360" w:lineRule="auto"/>
        <w:jc w:val="both"/>
        <w:rPr>
          <w:rFonts w:eastAsia="Calibri" w:cs="Arial"/>
          <w:b/>
          <w:sz w:val="24"/>
          <w:szCs w:val="24"/>
          <w:lang w:val="es-CO" w:eastAsia="en-US"/>
        </w:rPr>
      </w:pPr>
    </w:p>
    <w:p w14:paraId="1B142CD6" w14:textId="77777777" w:rsidR="00321C0C" w:rsidRPr="00595625" w:rsidRDefault="00321C0C" w:rsidP="00321C0C">
      <w:pPr>
        <w:rPr>
          <w:rFonts w:cs="Arial"/>
          <w:sz w:val="16"/>
          <w:szCs w:val="16"/>
        </w:rPr>
      </w:pPr>
      <w:bookmarkStart w:id="1" w:name="_Hlk85013364"/>
      <w:r w:rsidRPr="00595625">
        <w:rPr>
          <w:rFonts w:cs="Arial"/>
          <w:sz w:val="16"/>
          <w:szCs w:val="16"/>
        </w:rPr>
        <w:t>Elaboró: Nombres y Apellidos – Nombre de la Dependencia</w:t>
      </w:r>
    </w:p>
    <w:p w14:paraId="7008C63C" w14:textId="77777777" w:rsidR="00321C0C" w:rsidRPr="00595625" w:rsidRDefault="00321C0C" w:rsidP="00321C0C">
      <w:pPr>
        <w:rPr>
          <w:rFonts w:cs="Arial"/>
          <w:sz w:val="16"/>
          <w:szCs w:val="16"/>
        </w:rPr>
      </w:pPr>
      <w:r w:rsidRPr="00595625">
        <w:rPr>
          <w:rFonts w:cs="Arial"/>
          <w:sz w:val="16"/>
          <w:szCs w:val="16"/>
        </w:rPr>
        <w:t>Revisó: Nombres y Apellidos – Nombre de la Dependencia</w:t>
      </w:r>
    </w:p>
    <w:p w14:paraId="1BA9EA5A" w14:textId="77777777" w:rsidR="00321C0C" w:rsidRPr="006E07F5" w:rsidRDefault="00321C0C" w:rsidP="00321C0C">
      <w:pPr>
        <w:jc w:val="both"/>
        <w:rPr>
          <w:rFonts w:eastAsia="Calibri" w:cs="Arial"/>
          <w:sz w:val="18"/>
          <w:szCs w:val="18"/>
          <w:lang w:val="es-CO" w:eastAsia="en-US"/>
        </w:rPr>
      </w:pPr>
      <w:r w:rsidRPr="00595625">
        <w:rPr>
          <w:rFonts w:eastAsia="Calibri" w:cs="Arial"/>
          <w:sz w:val="16"/>
          <w:szCs w:val="16"/>
          <w:lang w:val="es-CO" w:eastAsia="en-US"/>
        </w:rPr>
        <w:t>Aprobó: Nombres y Apellidos – Nombre de la Dependencia</w:t>
      </w:r>
      <w:bookmarkEnd w:id="1"/>
    </w:p>
    <w:p w14:paraId="60905097" w14:textId="77777777" w:rsidR="00321C0C" w:rsidRPr="006E07F5" w:rsidRDefault="00321C0C" w:rsidP="00321C0C">
      <w:pPr>
        <w:rPr>
          <w:sz w:val="16"/>
          <w:szCs w:val="16"/>
          <w:lang w:val="es-CO"/>
        </w:rPr>
      </w:pPr>
      <w:r w:rsidRPr="006E07F5">
        <w:rPr>
          <w:sz w:val="16"/>
          <w:szCs w:val="16"/>
          <w:lang w:val="es-CO"/>
        </w:rPr>
        <w:t>Expediente No.</w:t>
      </w:r>
    </w:p>
    <w:p w14:paraId="1B709F27" w14:textId="77777777" w:rsidR="00321C0C" w:rsidRPr="000A73AA" w:rsidRDefault="00321C0C" w:rsidP="00321C0C">
      <w:pPr>
        <w:rPr>
          <w:lang w:val="es-CO"/>
        </w:rPr>
      </w:pPr>
    </w:p>
    <w:p w14:paraId="3D80920E" w14:textId="77777777" w:rsidR="00A56964" w:rsidRPr="00DE3A7D" w:rsidRDefault="00A56964" w:rsidP="00321C0C">
      <w:pPr>
        <w:spacing w:line="360" w:lineRule="auto"/>
        <w:jc w:val="center"/>
        <w:rPr>
          <w:lang w:val="es-CO"/>
        </w:rPr>
      </w:pPr>
    </w:p>
    <w:sectPr w:rsidR="00A56964" w:rsidRPr="00DE3A7D"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EE23F" w14:textId="77777777" w:rsidR="008E773C" w:rsidRDefault="008E773C" w:rsidP="00477CB4">
      <w:r>
        <w:separator/>
      </w:r>
    </w:p>
  </w:endnote>
  <w:endnote w:type="continuationSeparator" w:id="0">
    <w:p w14:paraId="1FDBF8B0" w14:textId="77777777" w:rsidR="008E773C" w:rsidRDefault="008E773C"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281B4337"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99068C">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99068C">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76C28" w14:textId="77777777" w:rsidR="008E773C" w:rsidRDefault="008E773C" w:rsidP="00477CB4">
      <w:r>
        <w:separator/>
      </w:r>
    </w:p>
  </w:footnote>
  <w:footnote w:type="continuationSeparator" w:id="0">
    <w:p w14:paraId="01A495BD" w14:textId="77777777" w:rsidR="008E773C" w:rsidRDefault="008E773C" w:rsidP="00477CB4">
      <w:r>
        <w:continuationSeparator/>
      </w:r>
    </w:p>
  </w:footnote>
  <w:footnote w:id="1">
    <w:p w14:paraId="0B147D11" w14:textId="77777777" w:rsidR="00864E8C" w:rsidRPr="007E4817" w:rsidRDefault="00864E8C" w:rsidP="00864E8C">
      <w:pPr>
        <w:pStyle w:val="Textonotapie"/>
        <w:rPr>
          <w:rFonts w:asciiTheme="minorHAnsi" w:hAnsiTheme="minorHAnsi" w:cstheme="minorHAnsi"/>
          <w:sz w:val="16"/>
          <w:szCs w:val="16"/>
          <w:lang w:val="es-CO"/>
        </w:rPr>
      </w:pPr>
      <w:r w:rsidRPr="007E4817">
        <w:rPr>
          <w:rStyle w:val="Refdenotaalpie"/>
          <w:rFonts w:asciiTheme="minorHAnsi" w:hAnsiTheme="minorHAnsi" w:cstheme="minorHAnsi"/>
          <w:sz w:val="16"/>
          <w:szCs w:val="16"/>
        </w:rPr>
        <w:footnoteRef/>
      </w:r>
      <w:r w:rsidRPr="007E4817">
        <w:rPr>
          <w:rFonts w:asciiTheme="minorHAnsi" w:hAnsiTheme="minorHAnsi" w:cstheme="minorHAnsi"/>
          <w:sz w:val="16"/>
          <w:szCs w:val="16"/>
        </w:rPr>
        <w:t xml:space="preserve"> </w:t>
      </w:r>
      <w:r w:rsidRPr="007E4817">
        <w:rPr>
          <w:rFonts w:asciiTheme="minorHAnsi" w:hAnsiTheme="minorHAnsi" w:cstheme="minorHAnsi"/>
          <w:sz w:val="16"/>
          <w:szCs w:val="16"/>
          <w:lang w:val="es-CO"/>
        </w:rPr>
        <w:t>Modificado por el artículo 14 de la ley 2094 de 2021</w:t>
      </w:r>
    </w:p>
  </w:footnote>
  <w:footnote w:id="2">
    <w:p w14:paraId="0F7A7261" w14:textId="77777777" w:rsidR="00897DB8" w:rsidRPr="006C0362" w:rsidRDefault="00897DB8" w:rsidP="00897DB8">
      <w:pPr>
        <w:pStyle w:val="Textonotapie"/>
        <w:rPr>
          <w:rFonts w:asciiTheme="minorHAnsi" w:hAnsiTheme="minorHAnsi" w:cstheme="minorHAnsi"/>
          <w:sz w:val="16"/>
          <w:szCs w:val="16"/>
          <w:lang w:val="es-CO"/>
        </w:rPr>
      </w:pPr>
      <w:r w:rsidRPr="006C0362">
        <w:rPr>
          <w:rStyle w:val="Refdenotaalpie"/>
          <w:rFonts w:asciiTheme="minorHAnsi" w:hAnsiTheme="minorHAnsi" w:cstheme="minorHAnsi"/>
          <w:sz w:val="16"/>
          <w:szCs w:val="16"/>
        </w:rPr>
        <w:footnoteRef/>
      </w:r>
      <w:r w:rsidRPr="006C0362">
        <w:rPr>
          <w:rFonts w:asciiTheme="minorHAnsi" w:hAnsiTheme="minorHAnsi" w:cstheme="minorHAnsi"/>
          <w:sz w:val="16"/>
          <w:szCs w:val="16"/>
        </w:rPr>
        <w:t xml:space="preserve"> </w:t>
      </w:r>
      <w:r w:rsidRPr="006C0362">
        <w:rPr>
          <w:rFonts w:asciiTheme="minorHAnsi" w:hAnsiTheme="minorHAnsi" w:cstheme="minorHAnsi"/>
          <w:sz w:val="16"/>
          <w:szCs w:val="16"/>
          <w:lang w:val="es-CO"/>
        </w:rPr>
        <w:t>Ley 1952 de 2019 artículo 92. Modificado por el artículo 13 de la Ley 2094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00CAE0AB" w14:textId="77777777" w:rsidR="006415D3" w:rsidRDefault="006415D3" w:rsidP="006415D3">
    <w:pPr>
      <w:pStyle w:val="Default"/>
      <w:jc w:val="center"/>
      <w:rPr>
        <w:rFonts w:ascii="Arial" w:eastAsia="Times New Roman" w:hAnsi="Arial" w:cs="Arial"/>
        <w:i/>
        <w:sz w:val="22"/>
        <w:lang w:val="es-419" w:eastAsia="es-ES"/>
      </w:rPr>
    </w:pPr>
  </w:p>
  <w:p w14:paraId="33A99E0A" w14:textId="77777777" w:rsidR="006415D3" w:rsidRDefault="006415D3" w:rsidP="006415D3">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399E1650" w14:textId="24AA1773" w:rsidR="006415D3" w:rsidRPr="006415D3" w:rsidRDefault="006415D3" w:rsidP="006415D3">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41F52052"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AC4DE0">
      <w:rPr>
        <w:rFonts w:cs="Arial"/>
        <w:b/>
        <w:sz w:val="24"/>
        <w:szCs w:val="24"/>
        <w:lang w:val="pt-BR"/>
      </w:rPr>
      <w:t>-xxxx</w:t>
    </w:r>
    <w:r w:rsidRPr="00731061">
      <w:rPr>
        <w:rFonts w:cs="Arial"/>
        <w:b/>
        <w:sz w:val="24"/>
        <w:szCs w:val="24"/>
        <w:lang w:val="pt-BR"/>
      </w:rPr>
      <w:t xml:space="preserve"> del     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2"/>
  </w:num>
  <w:num w:numId="5">
    <w:abstractNumId w:val="10"/>
  </w:num>
  <w:num w:numId="6">
    <w:abstractNumId w:val="5"/>
  </w:num>
  <w:num w:numId="7">
    <w:abstractNumId w:val="9"/>
  </w:num>
  <w:num w:numId="8">
    <w:abstractNumId w:val="11"/>
  </w:num>
  <w:num w:numId="9">
    <w:abstractNumId w:val="8"/>
  </w:num>
  <w:num w:numId="10">
    <w:abstractNumId w:val="7"/>
  </w:num>
  <w:num w:numId="11">
    <w:abstractNumId w:val="1"/>
  </w:num>
  <w:num w:numId="12">
    <w:abstractNumId w:val="4"/>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083"/>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3C"/>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2E9"/>
    <w:rsid w:val="00320920"/>
    <w:rsid w:val="00320FCE"/>
    <w:rsid w:val="003211B3"/>
    <w:rsid w:val="00321C0C"/>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5806"/>
    <w:rsid w:val="003B7410"/>
    <w:rsid w:val="003B752A"/>
    <w:rsid w:val="003B7ED6"/>
    <w:rsid w:val="003C05A7"/>
    <w:rsid w:val="003C097E"/>
    <w:rsid w:val="003C0CED"/>
    <w:rsid w:val="003C1885"/>
    <w:rsid w:val="003C3A3C"/>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3987"/>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C7D"/>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703"/>
    <w:rsid w:val="00567168"/>
    <w:rsid w:val="0056762B"/>
    <w:rsid w:val="00567A5F"/>
    <w:rsid w:val="005703B3"/>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C782C"/>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5D3"/>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654FE"/>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2EDE"/>
    <w:rsid w:val="006B3775"/>
    <w:rsid w:val="006B3D03"/>
    <w:rsid w:val="006B4A32"/>
    <w:rsid w:val="006B4F50"/>
    <w:rsid w:val="006B5210"/>
    <w:rsid w:val="006B56DC"/>
    <w:rsid w:val="006B56E8"/>
    <w:rsid w:val="006B6F67"/>
    <w:rsid w:val="006B7212"/>
    <w:rsid w:val="006B75B1"/>
    <w:rsid w:val="006B764D"/>
    <w:rsid w:val="006C0362"/>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253"/>
    <w:rsid w:val="00731393"/>
    <w:rsid w:val="0073148C"/>
    <w:rsid w:val="00731A20"/>
    <w:rsid w:val="00731BC1"/>
    <w:rsid w:val="00731BD9"/>
    <w:rsid w:val="0073279D"/>
    <w:rsid w:val="007328A7"/>
    <w:rsid w:val="00732D20"/>
    <w:rsid w:val="0073366F"/>
    <w:rsid w:val="00735452"/>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6711F"/>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4E8C"/>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392F"/>
    <w:rsid w:val="008943C4"/>
    <w:rsid w:val="00895C76"/>
    <w:rsid w:val="008965AC"/>
    <w:rsid w:val="00896A52"/>
    <w:rsid w:val="00896EE0"/>
    <w:rsid w:val="008974AC"/>
    <w:rsid w:val="008978BD"/>
    <w:rsid w:val="00897CB5"/>
    <w:rsid w:val="00897DB8"/>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643C"/>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9D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E773C"/>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68C"/>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B7B55"/>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4DE0"/>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4947"/>
    <w:rsid w:val="00B64C5C"/>
    <w:rsid w:val="00B65D4F"/>
    <w:rsid w:val="00B70758"/>
    <w:rsid w:val="00B72842"/>
    <w:rsid w:val="00B73ED0"/>
    <w:rsid w:val="00B73F21"/>
    <w:rsid w:val="00B74BDF"/>
    <w:rsid w:val="00B75B85"/>
    <w:rsid w:val="00B7666C"/>
    <w:rsid w:val="00B7742D"/>
    <w:rsid w:val="00B77504"/>
    <w:rsid w:val="00B7763B"/>
    <w:rsid w:val="00B7791D"/>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88B"/>
    <w:rsid w:val="00CF0915"/>
    <w:rsid w:val="00CF096C"/>
    <w:rsid w:val="00CF12D9"/>
    <w:rsid w:val="00CF1961"/>
    <w:rsid w:val="00CF1C96"/>
    <w:rsid w:val="00CF35BE"/>
    <w:rsid w:val="00CF365B"/>
    <w:rsid w:val="00CF4325"/>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374B4"/>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452"/>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3A7D"/>
    <w:rsid w:val="00DE470A"/>
    <w:rsid w:val="00DE4723"/>
    <w:rsid w:val="00DE4815"/>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76D"/>
    <w:rsid w:val="00E15CE5"/>
    <w:rsid w:val="00E165C7"/>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3EFA"/>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1C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Ref. de nota al pie1,Fago Fußnotenzeichen,Texto de nota al pie,Appel note de bas de page,referencia nota al pie,Footnotes refss,Footnote number,BVI fnr,f,Footnote symbol,Footnote,Ref,de nota al pie,Footnote Text Char1 Car Car Car Car"/>
    <w:basedOn w:val="Normal"/>
    <w:link w:val="TextonotapieCar"/>
    <w:uiPriority w:val="99"/>
    <w:qFormat/>
    <w:rsid w:val="000A5FBD"/>
    <w:rPr>
      <w:sz w:val="20"/>
    </w:rPr>
  </w:style>
  <w:style w:type="character" w:customStyle="1" w:styleId="TextonotapieCar">
    <w:name w:val="Texto nota pie Car"/>
    <w:aliases w:val="Ref. de nota al pie1 Car,Fago Fußnotenzeichen Car,Texto de nota al pie Car,Appel note de bas de page Car,referencia nota al pie Car,Footnotes refss Car,Footnote number Car,BVI fnr Car,f Car,Footnote symbol Car,Footnote Car,Ref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 de nota al pie,f1,4_G,FC,Pie de Página,texto de nota al pie Car Car Car2"/>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paragraph" w:customStyle="1" w:styleId="Default">
    <w:name w:val="Default"/>
    <w:rsid w:val="006415D3"/>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C3D30-7108-4657-81F6-D96BF112EDAE}">
  <ds:schemaRefs>
    <ds:schemaRef ds:uri="d285cd39-e139-4fac-9d3e-3acac271c797"/>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9edc6da-80fb-449f-973a-cdb425173cc6"/>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3FB6598B-0757-4958-A4CB-869B9525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1883</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2022-03-24T20:04:00Z</dcterms:created>
  <dcterms:modified xsi:type="dcterms:W3CDTF">2022-03-24T20:04:00Z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